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082" w:firstLineChars="1100"/>
        <w:rPr>
          <w:rFonts w:hint="default" w:ascii="Times New Roman" w:hAnsi="Times New Roman" w:eastAsia="微软雅黑" w:cs="Times New Roman"/>
          <w:b/>
          <w:bCs/>
          <w:sz w:val="28"/>
          <w:szCs w:val="28"/>
          <w:lang w:val="en-US" w:eastAsia="zh-CN"/>
        </w:rPr>
      </w:pPr>
      <w:r>
        <w:rPr>
          <w:rFonts w:ascii="Times New Roman" w:hAnsi="Times New Roman" w:eastAsia="微软雅黑" w:cs="Times New Roman"/>
          <w:b/>
          <w:bCs/>
          <w:sz w:val="28"/>
          <w:szCs w:val="28"/>
        </w:rPr>
        <w:t>行政村</w:t>
      </w:r>
      <w:r>
        <w:rPr>
          <w:rFonts w:hint="eastAsia" w:ascii="Times New Roman" w:hAnsi="Times New Roman" w:eastAsia="微软雅黑" w:cs="Times New Roman"/>
          <w:b/>
          <w:bCs/>
          <w:sz w:val="28"/>
          <w:szCs w:val="28"/>
          <w:lang w:val="en-US" w:eastAsia="zh-CN"/>
        </w:rPr>
        <w:t>资料清单</w:t>
      </w:r>
    </w:p>
    <w:p>
      <w:pPr>
        <w:numPr>
          <w:ilvl w:val="0"/>
          <w:numId w:val="1"/>
        </w:num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行政村概况介绍（村庄概况、历史沿革、人口、村民组等基本情况）。</w:t>
      </w:r>
    </w:p>
    <w:p>
      <w:pPr>
        <w:numPr>
          <w:ilvl w:val="0"/>
          <w:numId w:val="0"/>
        </w:numPr>
        <w:spacing w:line="360"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太平集村位于章广镇西北部，村域面积26.2平方公里，其中耕地面积4500亩，林业面积20000亩，是典型的江淮分水岭易旱缺水地区，辖区14个村民组，703户，户籍人口2389人。</w:t>
      </w:r>
    </w:p>
    <w:p>
      <w:pPr>
        <w:numPr>
          <w:ilvl w:val="0"/>
          <w:numId w:val="1"/>
        </w:numPr>
        <w:spacing w:line="360" w:lineRule="auto"/>
        <w:ind w:left="0" w:leftChars="0"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行政村主要产业、主要农产品、集体经济收入及其来源。</w:t>
      </w:r>
    </w:p>
    <w:p>
      <w:pPr>
        <w:numPr>
          <w:ilvl w:val="0"/>
          <w:numId w:val="0"/>
        </w:numPr>
        <w:spacing w:line="360" w:lineRule="auto"/>
        <w:ind w:left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 xml:space="preserve"> 瓜蒌、葛根、中草药，村集体经济收超50万元。</w:t>
      </w:r>
    </w:p>
    <w:p>
      <w:pPr>
        <w:numPr>
          <w:ilvl w:val="0"/>
          <w:numId w:val="1"/>
        </w:numPr>
        <w:spacing w:line="360" w:lineRule="auto"/>
        <w:ind w:left="0" w:leftChars="0" w:firstLine="560" w:firstLineChars="200"/>
        <w:rPr>
          <w:rFonts w:hint="eastAsia" w:ascii="Times New Roman" w:hAnsi="Times New Roman" w:eastAsia="仿宋" w:cs="Times New Roman"/>
          <w:sz w:val="28"/>
          <w:szCs w:val="28"/>
        </w:rPr>
      </w:pPr>
      <w:r>
        <w:rPr>
          <w:rFonts w:ascii="Times New Roman" w:hAnsi="Times New Roman" w:eastAsia="仿宋" w:cs="Times New Roman"/>
          <w:sz w:val="28"/>
          <w:szCs w:val="28"/>
        </w:rPr>
        <w:t>行政村发展概况（特色概况、产业发展概况、土地流转概况等）</w:t>
      </w:r>
      <w:r>
        <w:rPr>
          <w:rFonts w:hint="eastAsia" w:ascii="Times New Roman" w:hAnsi="Times New Roman" w:eastAsia="仿宋" w:cs="Times New Roman"/>
          <w:sz w:val="28"/>
          <w:szCs w:val="28"/>
        </w:rPr>
        <w:t>。</w:t>
      </w:r>
    </w:p>
    <w:p>
      <w:pPr>
        <w:numPr>
          <w:ilvl w:val="0"/>
          <w:numId w:val="0"/>
        </w:numPr>
        <w:spacing w:line="360"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辖区内有刘少奇旧居，徐海东司令部，“诗意田园”木屋旅居营地项目。中草药葛根加工厂，土地流转共2000多亩，主要种植瓜蒌、葛根、中草药等。</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4</w:t>
      </w:r>
      <w:r>
        <w:rPr>
          <w:rFonts w:ascii="Times New Roman" w:hAnsi="Times New Roman" w:eastAsia="仿宋" w:cs="Times New Roman"/>
          <w:sz w:val="28"/>
          <w:szCs w:val="28"/>
        </w:rPr>
        <w:t>）行政村内部行政办公，文化设施、教育设施、卫生医疗设施、商业服务设施、体育设施建设现状情况摸排</w:t>
      </w:r>
      <w:r>
        <w:rPr>
          <w:rFonts w:hint="eastAsia" w:ascii="Times New Roman" w:hAnsi="Times New Roman" w:eastAsia="仿宋" w:cs="Times New Roman"/>
          <w:sz w:val="28"/>
          <w:szCs w:val="28"/>
        </w:rPr>
        <w:t>。</w:t>
      </w:r>
    </w:p>
    <w:p>
      <w:pPr>
        <w:spacing w:line="360"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行政村办公面积约560平方，农家书屋、投影仪等，街道设有皇甫卫生院，篮球场、乒乓球场等健身场所5处。</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5</w:t>
      </w:r>
      <w:r>
        <w:rPr>
          <w:rFonts w:ascii="Times New Roman" w:hAnsi="Times New Roman" w:eastAsia="仿宋" w:cs="Times New Roman"/>
          <w:sz w:val="28"/>
          <w:szCs w:val="28"/>
        </w:rPr>
        <w:t>）行政村内部基础设施（给水、排水、电力电信）等现状情况摸排</w:t>
      </w:r>
      <w:r>
        <w:rPr>
          <w:rFonts w:hint="eastAsia" w:ascii="Times New Roman" w:hAnsi="Times New Roman" w:eastAsia="仿宋" w:cs="Times New Roman"/>
          <w:sz w:val="28"/>
          <w:szCs w:val="28"/>
        </w:rPr>
        <w:t>。</w:t>
      </w:r>
    </w:p>
    <w:p>
      <w:pPr>
        <w:spacing w:line="360"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供水能力为2400吨/日，太平集村常住人口241户，自来水管网全部铺设入户，能够满足居民饮水需求。辖区内建造一座污水处理厂，占地面积173平方米，服务人口1450人，每天处理污水100吨，内部电力电信全覆盖。</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w:t>
      </w:r>
      <w:r>
        <w:rPr>
          <w:rFonts w:hint="eastAsia" w:ascii="Times New Roman" w:hAnsi="Times New Roman" w:eastAsia="仿宋" w:cs="Times New Roman"/>
          <w:sz w:val="28"/>
          <w:szCs w:val="28"/>
        </w:rPr>
        <w:t>6</w:t>
      </w:r>
      <w:r>
        <w:rPr>
          <w:rFonts w:ascii="Times New Roman" w:hAnsi="Times New Roman" w:eastAsia="仿宋" w:cs="Times New Roman"/>
          <w:sz w:val="28"/>
          <w:szCs w:val="28"/>
        </w:rPr>
        <w:t>）行政村内部特色建筑、历史遗址遗迹、特色景观等资源分布概况</w:t>
      </w:r>
      <w:r>
        <w:rPr>
          <w:rFonts w:hint="eastAsia" w:ascii="Times New Roman" w:hAnsi="Times New Roman" w:eastAsia="仿宋" w:cs="Times New Roman"/>
          <w:sz w:val="28"/>
          <w:szCs w:val="28"/>
        </w:rPr>
        <w:t>。</w:t>
      </w:r>
    </w:p>
    <w:p>
      <w:pPr>
        <w:spacing w:line="360" w:lineRule="auto"/>
        <w:ind w:firstLine="560" w:firstLineChars="200"/>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1939后11月底刘少奇与徐海东到太平集村瓦屋薛主持召开了中原局第一次会议。</w:t>
      </w:r>
    </w:p>
    <w:p>
      <w:pPr>
        <w:spacing w:line="360"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诗意田园”木屋旅居营地项目，该项目按照国家农业农村部、省农业农村厅相关文件精神，采取社会资本+闲置宅基地模式，打造木屋旅居营地项目，该项目集休闲度假，旅居观光体育运动，研学体验红色文旅为一体，总投资约1.5亿元。</w:t>
      </w:r>
    </w:p>
    <w:p>
      <w:pPr>
        <w:numPr>
          <w:ilvl w:val="0"/>
          <w:numId w:val="2"/>
        </w:numPr>
        <w:spacing w:line="360" w:lineRule="auto"/>
        <w:ind w:firstLine="560" w:firstLineChars="200"/>
        <w:rPr>
          <w:rFonts w:hint="eastAsia" w:ascii="Times New Roman" w:hAnsi="Times New Roman" w:eastAsia="仿宋" w:cs="Times New Roman"/>
          <w:sz w:val="28"/>
          <w:szCs w:val="28"/>
        </w:rPr>
      </w:pPr>
      <w:r>
        <w:rPr>
          <w:rFonts w:ascii="Times New Roman" w:hAnsi="Times New Roman" w:eastAsia="仿宋" w:cs="Times New Roman"/>
          <w:sz w:val="28"/>
          <w:szCs w:val="28"/>
        </w:rPr>
        <w:t>行政村近期建设计划（含道路交通、公共服务设施、市政基础设施、扶贫计划等）</w:t>
      </w:r>
      <w:r>
        <w:rPr>
          <w:rFonts w:hint="eastAsia" w:ascii="Times New Roman" w:hAnsi="Times New Roman" w:eastAsia="仿宋" w:cs="Times New Roman"/>
          <w:sz w:val="28"/>
          <w:szCs w:val="28"/>
        </w:rPr>
        <w:t>。</w:t>
      </w:r>
    </w:p>
    <w:p>
      <w:pPr>
        <w:numPr>
          <w:ilvl w:val="0"/>
          <w:numId w:val="0"/>
        </w:numPr>
        <w:spacing w:line="360" w:lineRule="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 xml:space="preserve">    近期计划从村南入口到瓦屋薛刘少奇纪念馆3公里，南入口到太平组2公里道路拓宽，亮化、绿化，刘少奇纪念馆、徐海东司令部主体工程已完成，现正在进行布展工程，木屋旅居工程也正在施工中。村农贸市场内农机大院，计划改造成章广镇全民健身中心。葛根加工厂已平整好场地。</w:t>
      </w:r>
    </w:p>
    <w:p/>
    <w:p/>
    <w:p/>
    <w:p/>
    <w:p/>
    <w:p/>
    <w:p/>
    <w:p/>
    <w:p/>
    <w:p/>
    <w:p/>
    <w:p/>
    <w:p/>
    <w:p/>
    <w:p/>
    <w:p>
      <w:pPr>
        <w:spacing w:line="360" w:lineRule="auto"/>
        <w:ind w:firstLine="3082" w:firstLineChars="1100"/>
        <w:rPr>
          <w:rFonts w:hint="eastAsia" w:ascii="Times New Roman" w:hAnsi="Times New Roman" w:eastAsia="微软雅黑" w:cs="Times New Roman"/>
          <w:b/>
          <w:bCs/>
          <w:sz w:val="28"/>
          <w:szCs w:val="28"/>
          <w:lang w:val="en-US" w:eastAsia="zh-CN"/>
        </w:rPr>
      </w:pPr>
      <w:r>
        <w:rPr>
          <w:rFonts w:hint="eastAsia" w:ascii="Times New Roman" w:hAnsi="Times New Roman" w:eastAsia="微软雅黑" w:cs="Times New Roman"/>
          <w:b/>
          <w:bCs/>
          <w:sz w:val="28"/>
          <w:szCs w:val="28"/>
        </w:rPr>
        <w:t>村庄布局专题调研</w:t>
      </w:r>
      <w:r>
        <w:rPr>
          <w:rFonts w:hint="eastAsia" w:ascii="Times New Roman" w:hAnsi="Times New Roman" w:eastAsia="微软雅黑" w:cs="Times New Roman"/>
          <w:b/>
          <w:bCs/>
          <w:sz w:val="28"/>
          <w:szCs w:val="28"/>
          <w:lang w:val="en-US" w:eastAsia="zh-CN"/>
        </w:rPr>
        <w:t>表</w:t>
      </w:r>
    </w:p>
    <w:p>
      <w:pPr>
        <w:spacing w:line="360" w:lineRule="auto"/>
        <w:jc w:val="left"/>
        <w:rPr>
          <w:rFonts w:hint="eastAsia" w:ascii="宋体" w:hAnsi="宋体" w:eastAsia="宋体" w:cs="宋体"/>
          <w:spacing w:val="10"/>
          <w:szCs w:val="21"/>
        </w:rPr>
      </w:pPr>
      <w:r>
        <w:rPr>
          <w:rFonts w:hint="eastAsia" w:ascii="宋体" w:hAnsi="宋体" w:eastAsia="宋体" w:cs="宋体"/>
          <w:spacing w:val="10"/>
          <w:szCs w:val="21"/>
        </w:rPr>
        <w:t>填表单位：滁州市（南谯区、琅琊区）</w:t>
      </w:r>
      <w:r>
        <w:rPr>
          <w:rFonts w:hint="eastAsia" w:ascii="宋体" w:hAnsi="宋体" w:eastAsia="宋体" w:cs="宋体"/>
          <w:spacing w:val="10"/>
          <w:szCs w:val="21"/>
          <w:u w:val="single"/>
        </w:rPr>
        <w:t xml:space="preserve">  </w:t>
      </w:r>
      <w:r>
        <w:rPr>
          <w:rFonts w:hint="eastAsia" w:ascii="宋体" w:hAnsi="宋体" w:cs="宋体"/>
          <w:spacing w:val="10"/>
          <w:szCs w:val="21"/>
          <w:u w:val="single"/>
          <w:lang w:val="en-US" w:eastAsia="zh-CN"/>
        </w:rPr>
        <w:t>章广</w:t>
      </w:r>
      <w:r>
        <w:rPr>
          <w:rFonts w:hint="eastAsia" w:ascii="宋体" w:hAnsi="宋体" w:eastAsia="宋体" w:cs="宋体"/>
          <w:spacing w:val="10"/>
          <w:szCs w:val="21"/>
          <w:u w:val="single"/>
        </w:rPr>
        <w:t xml:space="preserve">   </w:t>
      </w:r>
      <w:r>
        <w:rPr>
          <w:rFonts w:hint="eastAsia" w:ascii="宋体" w:hAnsi="宋体" w:eastAsia="宋体" w:cs="宋体"/>
          <w:spacing w:val="10"/>
          <w:szCs w:val="21"/>
        </w:rPr>
        <w:t xml:space="preserve">  镇 </w:t>
      </w:r>
      <w:r>
        <w:rPr>
          <w:rFonts w:hint="eastAsia" w:ascii="宋体" w:hAnsi="宋体" w:eastAsia="宋体" w:cs="宋体"/>
          <w:spacing w:val="10"/>
          <w:szCs w:val="21"/>
          <w:u w:val="single"/>
        </w:rPr>
        <w:t xml:space="preserve"> </w:t>
      </w:r>
      <w:r>
        <w:rPr>
          <w:rFonts w:hint="eastAsia" w:ascii="宋体" w:hAnsi="宋体" w:cs="宋体"/>
          <w:spacing w:val="10"/>
          <w:szCs w:val="21"/>
          <w:u w:val="single"/>
          <w:lang w:val="en-US" w:eastAsia="zh-CN"/>
        </w:rPr>
        <w:t>太平集</w:t>
      </w:r>
      <w:r>
        <w:rPr>
          <w:rFonts w:hint="eastAsia" w:ascii="宋体" w:hAnsi="宋体" w:eastAsia="宋体" w:cs="宋体"/>
          <w:spacing w:val="10"/>
          <w:szCs w:val="21"/>
          <w:u w:val="single"/>
        </w:rPr>
        <w:t xml:space="preserve">  </w:t>
      </w:r>
      <w:r>
        <w:rPr>
          <w:rFonts w:hint="eastAsia" w:ascii="宋体" w:hAnsi="宋体" w:eastAsia="宋体" w:cs="宋体"/>
          <w:spacing w:val="10"/>
          <w:szCs w:val="21"/>
        </w:rPr>
        <w:t>行政村</w:t>
      </w:r>
    </w:p>
    <w:p>
      <w:pPr>
        <w:spacing w:line="360" w:lineRule="auto"/>
        <w:jc w:val="left"/>
        <w:rPr>
          <w:rFonts w:ascii="Times New Roman" w:hAnsi="Times New Roman" w:eastAsia="仿宋" w:cs="Times New Roman"/>
          <w:spacing w:val="10"/>
          <w:szCs w:val="21"/>
        </w:rPr>
      </w:pPr>
      <w:r>
        <w:rPr>
          <w:rFonts w:hint="eastAsia" w:ascii="宋体" w:hAnsi="宋体" w:eastAsia="宋体" w:cs="宋体"/>
          <w:spacing w:val="10"/>
          <w:szCs w:val="21"/>
        </w:rPr>
        <w:t>填写人（负责人）姓名</w:t>
      </w:r>
      <w:r>
        <w:rPr>
          <w:rFonts w:hint="eastAsia" w:ascii="宋体" w:hAnsi="宋体" w:eastAsia="宋体" w:cs="宋体"/>
          <w:spacing w:val="10"/>
          <w:szCs w:val="21"/>
          <w:u w:val="single"/>
        </w:rPr>
        <w:t xml:space="preserve"> </w:t>
      </w:r>
      <w:r>
        <w:rPr>
          <w:rFonts w:hint="eastAsia" w:ascii="宋体" w:hAnsi="宋体" w:cs="宋体"/>
          <w:spacing w:val="10"/>
          <w:szCs w:val="21"/>
          <w:u w:val="single"/>
          <w:lang w:val="en-US" w:eastAsia="zh-CN"/>
        </w:rPr>
        <w:t>俞泽龙</w:t>
      </w:r>
      <w:r>
        <w:rPr>
          <w:rFonts w:hint="eastAsia" w:ascii="宋体" w:hAnsi="宋体" w:eastAsia="宋体" w:cs="宋体"/>
          <w:spacing w:val="10"/>
          <w:szCs w:val="21"/>
          <w:u w:val="single"/>
        </w:rPr>
        <w:t xml:space="preserve"> </w:t>
      </w:r>
      <w:r>
        <w:rPr>
          <w:rFonts w:hint="eastAsia" w:ascii="宋体" w:hAnsi="宋体" w:eastAsia="宋体" w:cs="宋体"/>
          <w:spacing w:val="10"/>
          <w:szCs w:val="21"/>
        </w:rPr>
        <w:t>职务</w:t>
      </w:r>
      <w:r>
        <w:rPr>
          <w:rFonts w:hint="eastAsia" w:ascii="宋体" w:hAnsi="宋体" w:eastAsia="宋体" w:cs="宋体"/>
          <w:spacing w:val="10"/>
          <w:szCs w:val="21"/>
          <w:u w:val="single"/>
        </w:rPr>
        <w:t xml:space="preserve"> </w:t>
      </w:r>
      <w:r>
        <w:rPr>
          <w:rFonts w:hint="eastAsia" w:ascii="宋体" w:hAnsi="宋体" w:cs="宋体"/>
          <w:spacing w:val="10"/>
          <w:szCs w:val="21"/>
          <w:u w:val="single"/>
          <w:lang w:val="en-US" w:eastAsia="zh-CN"/>
        </w:rPr>
        <w:t>副主任</w:t>
      </w:r>
      <w:r>
        <w:rPr>
          <w:rFonts w:hint="eastAsia" w:ascii="宋体" w:hAnsi="宋体" w:eastAsia="宋体" w:cs="宋体"/>
          <w:spacing w:val="10"/>
          <w:szCs w:val="21"/>
          <w:u w:val="single"/>
        </w:rPr>
        <w:t xml:space="preserve">  </w:t>
      </w:r>
      <w:r>
        <w:rPr>
          <w:rFonts w:hint="eastAsia" w:ascii="宋体" w:hAnsi="宋体" w:eastAsia="宋体" w:cs="宋体"/>
          <w:spacing w:val="10"/>
          <w:szCs w:val="21"/>
        </w:rPr>
        <w:t>联系电话</w:t>
      </w:r>
      <w:r>
        <w:rPr>
          <w:rFonts w:hint="eastAsia" w:ascii="宋体" w:hAnsi="宋体" w:eastAsia="宋体" w:cs="宋体"/>
          <w:spacing w:val="10"/>
          <w:szCs w:val="21"/>
          <w:u w:val="single"/>
        </w:rPr>
        <w:t xml:space="preserve">  </w:t>
      </w:r>
      <w:r>
        <w:rPr>
          <w:rFonts w:hint="eastAsia" w:ascii="宋体" w:hAnsi="宋体" w:cs="宋体"/>
          <w:spacing w:val="10"/>
          <w:szCs w:val="21"/>
          <w:u w:val="single"/>
          <w:lang w:val="en-US" w:eastAsia="zh-CN"/>
        </w:rPr>
        <w:t>15955000843</w:t>
      </w:r>
      <w:r>
        <w:rPr>
          <w:rFonts w:hint="eastAsia" w:ascii="宋体" w:hAnsi="宋体" w:eastAsia="宋体" w:cs="宋体"/>
          <w:spacing w:val="10"/>
          <w:szCs w:val="21"/>
          <w:u w:val="single"/>
        </w:rPr>
        <w:t xml:space="preserve">   </w:t>
      </w:r>
    </w:p>
    <w:tbl>
      <w:tblPr>
        <w:tblStyle w:val="2"/>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992"/>
        <w:gridCol w:w="1134"/>
        <w:gridCol w:w="1134"/>
        <w:gridCol w:w="99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2" w:hRule="atLeast"/>
        </w:trPr>
        <w:tc>
          <w:tcPr>
            <w:tcW w:w="709" w:type="dxa"/>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 w:val="18"/>
                <w:szCs w:val="18"/>
              </w:rPr>
              <w:t>序号</w:t>
            </w:r>
          </w:p>
        </w:tc>
        <w:tc>
          <w:tcPr>
            <w:tcW w:w="1418" w:type="dxa"/>
            <w:shd w:val="clear" w:color="auto" w:fill="auto"/>
            <w:vAlign w:val="center"/>
          </w:tcPr>
          <w:p>
            <w:pPr>
              <w:spacing w:line="360" w:lineRule="auto"/>
              <w:jc w:val="center"/>
              <w:rPr>
                <w:rFonts w:hint="default" w:ascii="Times New Roman" w:hAnsi="Times New Roman" w:eastAsia="仿宋" w:cs="Times New Roman"/>
                <w:spacing w:val="10"/>
                <w:sz w:val="18"/>
                <w:szCs w:val="18"/>
                <w:lang w:val="en-US" w:eastAsia="zh-CN"/>
              </w:rPr>
            </w:pPr>
            <w:r>
              <w:rPr>
                <w:rFonts w:hint="eastAsia" w:ascii="Times New Roman" w:hAnsi="Times New Roman" w:eastAsia="仿宋" w:cs="Times New Roman"/>
                <w:spacing w:val="10"/>
                <w:sz w:val="18"/>
                <w:szCs w:val="18"/>
                <w:lang w:val="en-US" w:eastAsia="zh-CN"/>
              </w:rPr>
              <w:t>自然村</w:t>
            </w:r>
          </w:p>
        </w:tc>
        <w:tc>
          <w:tcPr>
            <w:tcW w:w="992" w:type="dxa"/>
            <w:shd w:val="clear" w:color="auto" w:fill="auto"/>
            <w:vAlign w:val="center"/>
          </w:tcPr>
          <w:p>
            <w:pPr>
              <w:spacing w:line="360" w:lineRule="auto"/>
              <w:jc w:val="center"/>
              <w:rPr>
                <w:rFonts w:ascii="Times New Roman" w:hAnsi="Times New Roman" w:eastAsia="仿宋" w:cs="Times New Roman"/>
                <w:spacing w:val="10"/>
                <w:sz w:val="18"/>
                <w:szCs w:val="18"/>
              </w:rPr>
            </w:pPr>
            <w:r>
              <w:rPr>
                <w:rFonts w:hint="eastAsia" w:ascii="Times New Roman" w:hAnsi="Times New Roman" w:eastAsia="仿宋" w:cs="Times New Roman"/>
                <w:spacing w:val="10"/>
                <w:sz w:val="18"/>
                <w:szCs w:val="18"/>
              </w:rPr>
              <w:t>户数</w:t>
            </w:r>
          </w:p>
        </w:tc>
        <w:tc>
          <w:tcPr>
            <w:tcW w:w="1134" w:type="dxa"/>
            <w:shd w:val="clear" w:color="auto" w:fill="auto"/>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 w:val="18"/>
                <w:szCs w:val="18"/>
              </w:rPr>
              <w:t>户籍人口</w:t>
            </w:r>
          </w:p>
        </w:tc>
        <w:tc>
          <w:tcPr>
            <w:tcW w:w="1134" w:type="dxa"/>
            <w:shd w:val="clear" w:color="auto" w:fill="auto"/>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 w:val="18"/>
                <w:szCs w:val="18"/>
              </w:rPr>
              <w:t>常住人口</w:t>
            </w:r>
          </w:p>
        </w:tc>
        <w:tc>
          <w:tcPr>
            <w:tcW w:w="992" w:type="dxa"/>
            <w:vAlign w:val="center"/>
          </w:tcPr>
          <w:p>
            <w:pPr>
              <w:spacing w:line="360" w:lineRule="auto"/>
              <w:jc w:val="center"/>
              <w:rPr>
                <w:rFonts w:ascii="Times New Roman" w:hAnsi="Times New Roman" w:eastAsia="仿宋" w:cs="Times New Roman"/>
                <w:spacing w:val="10"/>
                <w:sz w:val="18"/>
                <w:szCs w:val="18"/>
              </w:rPr>
            </w:pPr>
            <w:r>
              <w:rPr>
                <w:rFonts w:ascii="Times New Roman" w:hAnsi="Times New Roman" w:eastAsia="仿宋" w:cs="Times New Roman"/>
                <w:spacing w:val="10"/>
                <w:szCs w:val="21"/>
              </w:rPr>
              <w:t>外来暂住人口</w:t>
            </w:r>
          </w:p>
        </w:tc>
        <w:tc>
          <w:tcPr>
            <w:tcW w:w="2693" w:type="dxa"/>
            <w:vAlign w:val="center"/>
          </w:tcPr>
          <w:p>
            <w:pPr>
              <w:spacing w:line="360" w:lineRule="auto"/>
              <w:rPr>
                <w:rFonts w:hint="eastAsia" w:ascii="Times New Roman" w:hAnsi="Times New Roman" w:eastAsia="仿宋" w:cs="Times New Roman"/>
                <w:spacing w:val="10"/>
                <w:szCs w:val="21"/>
              </w:rPr>
            </w:pPr>
            <w:r>
              <w:rPr>
                <w:rFonts w:hint="eastAsia" w:ascii="Times New Roman" w:hAnsi="Times New Roman" w:eastAsia="仿宋" w:cs="Times New Roman"/>
                <w:spacing w:val="10"/>
                <w:szCs w:val="21"/>
              </w:rPr>
              <w:t>1、永久居民点</w:t>
            </w:r>
          </w:p>
          <w:p>
            <w:pPr>
              <w:spacing w:line="360" w:lineRule="auto"/>
              <w:rPr>
                <w:rFonts w:hint="eastAsia" w:ascii="Times New Roman" w:hAnsi="Times New Roman" w:eastAsia="仿宋" w:cs="Times New Roman"/>
                <w:spacing w:val="10"/>
                <w:szCs w:val="21"/>
              </w:rPr>
            </w:pPr>
            <w:r>
              <w:rPr>
                <w:rFonts w:hint="eastAsia" w:ascii="Times New Roman" w:hAnsi="Times New Roman" w:eastAsia="仿宋" w:cs="Times New Roman"/>
                <w:spacing w:val="10"/>
                <w:szCs w:val="21"/>
              </w:rPr>
              <w:t>2、近期搬迁撤并居民点</w:t>
            </w:r>
          </w:p>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3、远期搬迁撤并居民点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瓦屋薛组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70</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199</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43</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大郭山组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46</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148</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33</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前冒组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30</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83</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18</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4</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太平组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62</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184</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57</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5</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北窑组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71</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202</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35</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6</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东王刘组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41</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122</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55</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7</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花庙周组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76</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237</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54</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8</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后冒组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65</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208</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41</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9</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高桥组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77</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243</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31</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10</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小周组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29</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103</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20</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11</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河西鲁组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32</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110</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20</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3（2012年）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12</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河沿组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101</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308</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44</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13</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南吴组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31</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102</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11</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14</w:t>
            </w:r>
          </w:p>
        </w:tc>
        <w:tc>
          <w:tcPr>
            <w:tcW w:w="1418"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小黄组</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34</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111</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23</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15</w:t>
            </w:r>
          </w:p>
        </w:tc>
        <w:tc>
          <w:tcPr>
            <w:tcW w:w="1418" w:type="dxa"/>
            <w:shd w:val="clear" w:color="auto" w:fill="auto"/>
            <w:vAlign w:val="center"/>
          </w:tcPr>
          <w:p>
            <w:pPr>
              <w:spacing w:line="360" w:lineRule="auto"/>
              <w:rPr>
                <w:rFonts w:ascii="Times New Roman" w:hAnsi="Times New Roman" w:eastAsia="仿宋" w:cs="Times New Roman"/>
                <w:spacing w:val="10"/>
                <w:szCs w:val="21"/>
              </w:rPr>
            </w:pPr>
            <w:r>
              <w:rPr>
                <w:rFonts w:hint="eastAsia" w:ascii="Times New Roman" w:hAnsi="Times New Roman" w:eastAsia="仿宋" w:cs="Times New Roman"/>
                <w:spacing w:val="10"/>
                <w:szCs w:val="21"/>
              </w:rPr>
              <w:t>高桥路</w:t>
            </w: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default" w:ascii="Times New Roman" w:hAnsi="Times New Roman" w:eastAsia="仿宋" w:cs="Times New Roman"/>
                <w:spacing w:val="10"/>
                <w:szCs w:val="21"/>
                <w:lang w:val="en-US" w:eastAsia="zh-CN"/>
              </w:rPr>
              <w:t>86</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default" w:ascii="Times New Roman" w:hAnsi="Times New Roman" w:eastAsia="仿宋" w:cs="Times New Roman"/>
                <w:spacing w:val="10"/>
                <w:szCs w:val="21"/>
                <w:lang w:val="en-US" w:eastAsia="zh-CN"/>
              </w:rPr>
              <w:t>133</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27</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hint="eastAsia"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合计</w:t>
            </w:r>
          </w:p>
        </w:tc>
        <w:tc>
          <w:tcPr>
            <w:tcW w:w="1418"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851</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2493</w:t>
            </w:r>
          </w:p>
        </w:tc>
        <w:tc>
          <w:tcPr>
            <w:tcW w:w="1134" w:type="dxa"/>
            <w:shd w:val="clear" w:color="auto" w:fill="auto"/>
            <w:vAlign w:val="center"/>
          </w:tcPr>
          <w:p>
            <w:pPr>
              <w:spacing w:line="360" w:lineRule="auto"/>
              <w:rPr>
                <w:rFonts w:hint="default" w:ascii="Times New Roman" w:hAnsi="Times New Roman" w:eastAsia="仿宋" w:cs="Times New Roman"/>
                <w:spacing w:val="10"/>
                <w:szCs w:val="21"/>
                <w:lang w:val="en-US" w:eastAsia="zh-CN"/>
              </w:rPr>
            </w:pPr>
            <w:r>
              <w:rPr>
                <w:rFonts w:hint="eastAsia" w:ascii="Times New Roman" w:hAnsi="Times New Roman" w:eastAsia="仿宋" w:cs="Times New Roman"/>
                <w:spacing w:val="10"/>
                <w:szCs w:val="21"/>
                <w:lang w:val="en-US" w:eastAsia="zh-CN"/>
              </w:rPr>
              <w:t>512</w:t>
            </w: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p>
        </w:tc>
        <w:tc>
          <w:tcPr>
            <w:tcW w:w="1418"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p>
        </w:tc>
        <w:tc>
          <w:tcPr>
            <w:tcW w:w="1418"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360" w:lineRule="auto"/>
              <w:rPr>
                <w:rFonts w:ascii="Times New Roman" w:hAnsi="Times New Roman" w:eastAsia="仿宋" w:cs="Times New Roman"/>
                <w:spacing w:val="10"/>
                <w:szCs w:val="21"/>
              </w:rPr>
            </w:pPr>
          </w:p>
        </w:tc>
        <w:tc>
          <w:tcPr>
            <w:tcW w:w="1418"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spacing w:line="360" w:lineRule="auto"/>
              <w:rPr>
                <w:rFonts w:ascii="Times New Roman" w:hAnsi="Times New Roman" w:eastAsia="仿宋" w:cs="Times New Roman"/>
                <w:spacing w:val="10"/>
                <w:szCs w:val="21"/>
              </w:rPr>
            </w:pPr>
          </w:p>
        </w:tc>
        <w:tc>
          <w:tcPr>
            <w:tcW w:w="1418"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1134" w:type="dxa"/>
            <w:shd w:val="clear" w:color="auto" w:fill="auto"/>
            <w:vAlign w:val="center"/>
          </w:tcPr>
          <w:p>
            <w:pPr>
              <w:spacing w:line="360" w:lineRule="auto"/>
              <w:rPr>
                <w:rFonts w:ascii="Times New Roman" w:hAnsi="Times New Roman" w:eastAsia="仿宋" w:cs="Times New Roman"/>
                <w:spacing w:val="10"/>
                <w:szCs w:val="21"/>
              </w:rPr>
            </w:pPr>
          </w:p>
        </w:tc>
        <w:tc>
          <w:tcPr>
            <w:tcW w:w="992" w:type="dxa"/>
            <w:vAlign w:val="center"/>
          </w:tcPr>
          <w:p>
            <w:pPr>
              <w:spacing w:line="360" w:lineRule="auto"/>
              <w:rPr>
                <w:rFonts w:ascii="Times New Roman" w:hAnsi="Times New Roman" w:eastAsia="仿宋" w:cs="Times New Roman"/>
                <w:spacing w:val="10"/>
                <w:szCs w:val="21"/>
              </w:rPr>
            </w:pPr>
          </w:p>
        </w:tc>
        <w:tc>
          <w:tcPr>
            <w:tcW w:w="2693" w:type="dxa"/>
            <w:vAlign w:val="center"/>
          </w:tcPr>
          <w:p>
            <w:pPr>
              <w:spacing w:line="360" w:lineRule="auto"/>
              <w:rPr>
                <w:rFonts w:ascii="Times New Roman" w:hAnsi="Times New Roman" w:eastAsia="仿宋" w:cs="Times New Roman"/>
                <w:spacing w:val="10"/>
                <w:szCs w:val="21"/>
              </w:rPr>
            </w:pPr>
          </w:p>
        </w:tc>
      </w:tr>
    </w:tbl>
    <w:p>
      <w:pPr>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A1DB58"/>
    <w:multiLevelType w:val="singleLevel"/>
    <w:tmpl w:val="ADA1DB58"/>
    <w:lvl w:ilvl="0" w:tentative="0">
      <w:start w:val="7"/>
      <w:numFmt w:val="decimal"/>
      <w:suff w:val="nothing"/>
      <w:lvlText w:val="（%1）"/>
      <w:lvlJc w:val="left"/>
    </w:lvl>
  </w:abstractNum>
  <w:abstractNum w:abstractNumId="1">
    <w:nsid w:val="2AD25A11"/>
    <w:multiLevelType w:val="singleLevel"/>
    <w:tmpl w:val="2AD25A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8F380B"/>
    <w:rsid w:val="18EE5CF8"/>
    <w:rsid w:val="20220F80"/>
    <w:rsid w:val="2C20353C"/>
    <w:rsid w:val="3DC35165"/>
    <w:rsid w:val="770C1EF0"/>
    <w:rsid w:val="7B7B5820"/>
    <w:rsid w:val="7DB51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character" w:customStyle="1" w:styleId="4">
    <w:name w:val="font31"/>
    <w:basedOn w:val="3"/>
    <w:qFormat/>
    <w:uiPriority w:val="0"/>
    <w:rPr>
      <w:rFonts w:hint="eastAsia" w:ascii="宋体" w:hAnsi="宋体" w:eastAsia="宋体" w:cs="宋体"/>
      <w:color w:val="000000"/>
      <w:sz w:val="36"/>
      <w:szCs w:val="3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901</Words>
  <Characters>912</Characters>
  <Paragraphs>325</Paragraphs>
  <TotalTime>0</TotalTime>
  <ScaleCrop>false</ScaleCrop>
  <LinksUpToDate>false</LinksUpToDate>
  <CharactersWithSpaces>974</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2020-10-27T12:55:00Z</dcterms:created>
  <dc:creator>Lenovo</dc:creator>
  <cp:lastModifiedBy>Administrator</cp:lastModifiedBy>
  <dcterms:modified xsi:type="dcterms:W3CDTF">2020-11-01T08:32:16Z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